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743DDAFD" w:rsidR="00872ED7" w:rsidRPr="00872ED7" w:rsidRDefault="00D41317" w:rsidP="00872ED7">
      <w:pPr>
        <w:ind w:left="142"/>
        <w:rPr>
          <w:rFonts w:ascii="Helvetica Neue" w:hAnsi="Helvetica Neue"/>
          <w:b/>
          <w:bCs/>
          <w:color w:val="003172"/>
          <w:lang w:val="en-GB"/>
        </w:rPr>
      </w:pPr>
      <w:r>
        <w:rPr>
          <w:rFonts w:ascii="Helvetica Neue" w:hAnsi="Helvetica Neue"/>
          <w:b/>
          <w:bCs/>
          <w:color w:val="003172"/>
          <w:lang w:val="en-GB"/>
        </w:rPr>
        <w:t>Workforce sustainability is a healthcare issue, not just an HR problem</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49151CAC" w14:textId="77777777" w:rsidR="00410AFB" w:rsidRDefault="00410AFB" w:rsidP="00410AFB">
      <w:pPr>
        <w:rPr>
          <w:rFonts w:ascii="Helvetica Neue" w:hAnsi="Helvetica Neue"/>
          <w:b/>
          <w:bCs/>
          <w:sz w:val="21"/>
          <w:szCs w:val="21"/>
        </w:rPr>
      </w:pPr>
    </w:p>
    <w:p w14:paraId="44A97CE7" w14:textId="17AFBE2A" w:rsidR="00410AFB" w:rsidRPr="00410AFB" w:rsidRDefault="00D41317" w:rsidP="00410AFB">
      <w:pPr>
        <w:ind w:left="142"/>
        <w:rPr>
          <w:rFonts w:ascii="Helvetica Neue" w:hAnsi="Helvetica Neue"/>
          <w:b/>
          <w:bCs/>
          <w:sz w:val="21"/>
          <w:szCs w:val="21"/>
        </w:rPr>
      </w:pPr>
      <w:r w:rsidRPr="00D41317">
        <w:rPr>
          <w:rFonts w:ascii="Helvetica Neue" w:hAnsi="Helvetica Neue"/>
          <w:b/>
          <w:bCs/>
          <w:sz w:val="21"/>
          <w:szCs w:val="21"/>
        </w:rPr>
        <w:t>Across industries, organisations are under growing strain. Burnout is rising, teams are stretched, and experienced professionals are leaving faster than they can be replaced. What is often framed as a human resources challenge is, in reality, a direct threat to performance and long-term stability.</w:t>
      </w:r>
    </w:p>
    <w:p w14:paraId="19954ED7" w14:textId="77777777" w:rsidR="001626DC" w:rsidRPr="00A31554" w:rsidRDefault="001626DC" w:rsidP="00F85213">
      <w:pPr>
        <w:rPr>
          <w:rFonts w:ascii="Helvetica Neue" w:hAnsi="Helvetica Neue"/>
          <w:b/>
          <w:bCs/>
          <w:i/>
          <w:iCs/>
          <w:sz w:val="21"/>
          <w:szCs w:val="21"/>
        </w:rPr>
      </w:pPr>
    </w:p>
    <w:p w14:paraId="32023B8A"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In healthcare, that threat is immediate and systemic. The sector depends entirely on people to function. Workforce sustainability is not a secondary concern. It is a core determinant of how effectively the healthcare system operates.</w:t>
      </w:r>
    </w:p>
    <w:p w14:paraId="1AB2FCBE" w14:textId="77777777" w:rsidR="00D41317" w:rsidRPr="00D41317" w:rsidRDefault="00D41317" w:rsidP="00D41317">
      <w:pPr>
        <w:ind w:left="142"/>
        <w:rPr>
          <w:rFonts w:ascii="Helvetica Neue" w:hAnsi="Helvetica Neue"/>
          <w:bCs/>
          <w:sz w:val="21"/>
          <w:szCs w:val="21"/>
        </w:rPr>
      </w:pPr>
    </w:p>
    <w:p w14:paraId="5F96D62B"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 xml:space="preserve">The scale of the challenge is global. The </w:t>
      </w:r>
      <w:hyperlink r:id="rId8" w:history="1">
        <w:r w:rsidRPr="00D41317">
          <w:rPr>
            <w:rStyle w:val="Hyperlink"/>
            <w:rFonts w:ascii="Helvetica Neue" w:hAnsi="Helvetica Neue"/>
            <w:bCs/>
            <w:sz w:val="21"/>
            <w:szCs w:val="21"/>
          </w:rPr>
          <w:t>World Health Organisation</w:t>
        </w:r>
      </w:hyperlink>
      <w:r w:rsidRPr="00D41317">
        <w:rPr>
          <w:rFonts w:ascii="Helvetica Neue" w:hAnsi="Helvetica Neue"/>
          <w:bCs/>
          <w:sz w:val="21"/>
          <w:szCs w:val="21"/>
        </w:rPr>
        <w:t xml:space="preserve"> estimates a shortfall of around 11 million health workers by 2030, with the sharpest impact expected in low- and middle-income countries. South Africa is already feeling the pressure, managing a high burden of disease alongside constrained resources and uneven access to care.</w:t>
      </w:r>
    </w:p>
    <w:p w14:paraId="38A324F6" w14:textId="77777777" w:rsidR="00D41317" w:rsidRPr="00D41317" w:rsidRDefault="00D41317" w:rsidP="00D41317">
      <w:pPr>
        <w:ind w:left="142"/>
        <w:rPr>
          <w:rFonts w:ascii="Helvetica Neue" w:hAnsi="Helvetica Neue"/>
          <w:bCs/>
          <w:sz w:val="21"/>
          <w:szCs w:val="21"/>
        </w:rPr>
      </w:pPr>
    </w:p>
    <w:p w14:paraId="65CDB613"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When experienced healthcare professionals leave, the loss goes beyond headcount. Institutional knowledge disappears. Continuity is disrupted. The quality and consistency of care are harder to maintain.</w:t>
      </w:r>
    </w:p>
    <w:p w14:paraId="1FCEE666" w14:textId="77777777" w:rsidR="00D41317" w:rsidRPr="00D41317" w:rsidRDefault="00D41317" w:rsidP="00D41317">
      <w:pPr>
        <w:ind w:left="142"/>
        <w:rPr>
          <w:rFonts w:ascii="Helvetica Neue" w:hAnsi="Helvetica Neue"/>
          <w:bCs/>
          <w:sz w:val="21"/>
          <w:szCs w:val="21"/>
        </w:rPr>
      </w:pPr>
    </w:p>
    <w:p w14:paraId="5F699552" w14:textId="77777777" w:rsidR="00D41317" w:rsidRPr="00D41317" w:rsidRDefault="00D41317" w:rsidP="00D41317">
      <w:pPr>
        <w:ind w:left="142"/>
        <w:rPr>
          <w:rFonts w:ascii="Helvetica Neue" w:hAnsi="Helvetica Neue"/>
          <w:b/>
          <w:bCs/>
          <w:sz w:val="21"/>
          <w:szCs w:val="21"/>
        </w:rPr>
      </w:pPr>
      <w:r w:rsidRPr="00D41317">
        <w:rPr>
          <w:rFonts w:ascii="Helvetica Neue" w:hAnsi="Helvetica Neue"/>
          <w:b/>
          <w:bCs/>
          <w:sz w:val="21"/>
          <w:szCs w:val="21"/>
        </w:rPr>
        <w:t>Burnout is a systems failure, not an individual one</w:t>
      </w:r>
    </w:p>
    <w:p w14:paraId="70924274" w14:textId="77777777" w:rsidR="00D41317" w:rsidRPr="00D41317" w:rsidRDefault="00D41317" w:rsidP="00D41317">
      <w:pPr>
        <w:ind w:left="142"/>
        <w:rPr>
          <w:rFonts w:ascii="Helvetica Neue" w:hAnsi="Helvetica Neue"/>
          <w:bCs/>
          <w:sz w:val="21"/>
          <w:szCs w:val="21"/>
        </w:rPr>
      </w:pPr>
    </w:p>
    <w:p w14:paraId="360C49E9"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 xml:space="preserve">Burnout is often treated as a personal issue. In practice, it reflects how systems are designed and managed. When healthcare workers are overwhelmed, unsupported, or stretched too thin, burnout becomes inevitable. Its impact is measurable. Studies show a clear link between burnout and reduced patient safety, lower quality of care, and declining patient satisfaction. These are not abstract concerns. Research published in </w:t>
      </w:r>
      <w:hyperlink r:id="rId9" w:history="1">
        <w:r w:rsidRPr="00D41317">
          <w:rPr>
            <w:rStyle w:val="Hyperlink"/>
            <w:rFonts w:ascii="Helvetica Neue" w:hAnsi="Helvetica Neue"/>
            <w:bCs/>
            <w:sz w:val="21"/>
            <w:szCs w:val="21"/>
          </w:rPr>
          <w:t>JAMA Network Open</w:t>
        </w:r>
      </w:hyperlink>
      <w:r w:rsidRPr="00D41317">
        <w:rPr>
          <w:rFonts w:ascii="Helvetica Neue" w:hAnsi="Helvetica Neue"/>
          <w:bCs/>
          <w:sz w:val="21"/>
          <w:szCs w:val="21"/>
        </w:rPr>
        <w:t xml:space="preserve"> found that burnout among healthcare workers is associated with “decreased patient safety, reduced quality of care and lower patient satisfaction”. These outcomes directly affect system performance.</w:t>
      </w:r>
    </w:p>
    <w:p w14:paraId="107C4D88" w14:textId="77777777" w:rsidR="00D41317" w:rsidRPr="00D41317" w:rsidRDefault="00D41317" w:rsidP="00D41317">
      <w:pPr>
        <w:ind w:left="142"/>
        <w:rPr>
          <w:rFonts w:ascii="Helvetica Neue" w:hAnsi="Helvetica Neue"/>
          <w:bCs/>
          <w:sz w:val="21"/>
          <w:szCs w:val="21"/>
        </w:rPr>
      </w:pPr>
    </w:p>
    <w:p w14:paraId="0BB724BD"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Burnout also drives attrition. Healthcare workers experiencing sustained pressure are significantly more likely to leave their employment or in fact the industry, which in turn increases workloads for those who remain. The cycle reinforces itself. For medical schemes, these pressures show up in very real ways. Healthcare provider capacity tightens. Care coordination becomes more complex. Member experience deteriorates. Workforce strain does not stay contained. It moves through the entire healthcare value chain.</w:t>
      </w:r>
    </w:p>
    <w:p w14:paraId="0C092155" w14:textId="77777777" w:rsidR="00D41317" w:rsidRPr="00D41317" w:rsidRDefault="00D41317" w:rsidP="00D41317">
      <w:pPr>
        <w:ind w:left="142"/>
        <w:rPr>
          <w:rFonts w:ascii="Helvetica Neue" w:hAnsi="Helvetica Neue"/>
          <w:bCs/>
          <w:sz w:val="21"/>
          <w:szCs w:val="21"/>
        </w:rPr>
      </w:pPr>
    </w:p>
    <w:p w14:paraId="555075F8" w14:textId="77777777" w:rsidR="00D41317" w:rsidRPr="00D41317" w:rsidRDefault="00D41317" w:rsidP="00D41317">
      <w:pPr>
        <w:ind w:left="142"/>
        <w:rPr>
          <w:rFonts w:ascii="Helvetica Neue" w:hAnsi="Helvetica Neue"/>
          <w:b/>
          <w:bCs/>
          <w:sz w:val="21"/>
          <w:szCs w:val="21"/>
        </w:rPr>
      </w:pPr>
      <w:r w:rsidRPr="00D41317">
        <w:rPr>
          <w:rFonts w:ascii="Helvetica Neue" w:hAnsi="Helvetica Neue"/>
          <w:b/>
          <w:bCs/>
          <w:sz w:val="21"/>
          <w:szCs w:val="21"/>
        </w:rPr>
        <w:t>Recruitment alone will not solve the problem</w:t>
      </w:r>
    </w:p>
    <w:p w14:paraId="0ACA9EDD" w14:textId="77777777" w:rsidR="00D41317" w:rsidRPr="00D41317" w:rsidRDefault="00D41317" w:rsidP="00D41317">
      <w:pPr>
        <w:ind w:left="142"/>
        <w:rPr>
          <w:rFonts w:ascii="Helvetica Neue" w:hAnsi="Helvetica Neue"/>
          <w:bCs/>
          <w:sz w:val="21"/>
          <w:szCs w:val="21"/>
        </w:rPr>
      </w:pPr>
    </w:p>
    <w:p w14:paraId="1A3D29C0"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The instinctive response to staffing shortages is to recruit new healthcare workers. That matters, but it does not address the root of the issue. Retention is the harder and more important challenge. People rarely leave suddenly. They disengage over time as workload increases, support declines, and growth opportunities narrow. By the time they exit, organisations have already absorbed the cost through lower productivity and weakened team cohesion.</w:t>
      </w:r>
    </w:p>
    <w:p w14:paraId="37777DB2" w14:textId="77777777" w:rsidR="00D41317" w:rsidRPr="00D41317" w:rsidRDefault="00D41317" w:rsidP="00D41317">
      <w:pPr>
        <w:ind w:left="142"/>
        <w:rPr>
          <w:rFonts w:ascii="Helvetica Neue" w:hAnsi="Helvetica Neue"/>
          <w:bCs/>
          <w:sz w:val="21"/>
          <w:szCs w:val="21"/>
        </w:rPr>
      </w:pPr>
    </w:p>
    <w:p w14:paraId="7E1DF26C" w14:textId="77777777" w:rsidR="00D41317" w:rsidRPr="00D41317" w:rsidRDefault="00D41317" w:rsidP="00D41317">
      <w:pPr>
        <w:ind w:left="142"/>
        <w:rPr>
          <w:rFonts w:ascii="Helvetica Neue" w:hAnsi="Helvetica Neue"/>
          <w:bCs/>
          <w:sz w:val="21"/>
          <w:szCs w:val="21"/>
        </w:rPr>
      </w:pPr>
      <w:hyperlink r:id="rId10" w:anchor=":~:text=High%2Ddemand%20and%20low%2Dcontrol,were%20causing%20distress%20at%20work.&amp;text=It%20is%20also%20important%20to,been%20identified%20in%20previous%20research.&amp;text=Financial%20factors%2C%20mainly%20a%20lack,an%20experience%20of%20work%20stress." w:history="1">
        <w:r w:rsidRPr="00D41317">
          <w:rPr>
            <w:rStyle w:val="Hyperlink"/>
            <w:rFonts w:ascii="Helvetica Neue" w:hAnsi="Helvetica Neue"/>
            <w:bCs/>
            <w:sz w:val="21"/>
            <w:szCs w:val="21"/>
          </w:rPr>
          <w:t>Poor working conditions</w:t>
        </w:r>
      </w:hyperlink>
      <w:r w:rsidRPr="00D41317">
        <w:rPr>
          <w:rFonts w:ascii="Helvetica Neue" w:hAnsi="Helvetica Neue"/>
          <w:bCs/>
          <w:sz w:val="21"/>
          <w:szCs w:val="21"/>
        </w:rPr>
        <w:t xml:space="preserve">, including high workload, low pay, stressful work environments and lack of protective measures, are key contributors to declining mental health and workforce exits. These are not external pull factors, but internal system pressures. </w:t>
      </w:r>
    </w:p>
    <w:p w14:paraId="5DEA147D" w14:textId="77777777" w:rsidR="00D41317" w:rsidRPr="00D41317" w:rsidRDefault="00D41317" w:rsidP="00D41317">
      <w:pPr>
        <w:ind w:left="142"/>
        <w:rPr>
          <w:rFonts w:ascii="Helvetica Neue" w:hAnsi="Helvetica Neue"/>
          <w:bCs/>
          <w:sz w:val="21"/>
          <w:szCs w:val="21"/>
        </w:rPr>
      </w:pPr>
    </w:p>
    <w:p w14:paraId="7820F7F7"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In healthcare, the consequences are amplified. High turnover affects member servicing, claims processing, provider relationships, and continuity of care. It introduces friction into systems that depend on consistency and trust.</w:t>
      </w:r>
    </w:p>
    <w:p w14:paraId="23D5C8E6" w14:textId="77777777" w:rsidR="00D41317" w:rsidRPr="00D41317" w:rsidRDefault="00D41317" w:rsidP="00D41317">
      <w:pPr>
        <w:ind w:left="142"/>
        <w:rPr>
          <w:rFonts w:ascii="Helvetica Neue" w:hAnsi="Helvetica Neue"/>
          <w:bCs/>
          <w:sz w:val="21"/>
          <w:szCs w:val="21"/>
        </w:rPr>
      </w:pPr>
    </w:p>
    <w:p w14:paraId="5B88F74B" w14:textId="77777777" w:rsidR="00D41317" w:rsidRPr="00D41317" w:rsidRDefault="00D41317" w:rsidP="00D41317">
      <w:pPr>
        <w:ind w:left="142"/>
        <w:rPr>
          <w:rFonts w:ascii="Helvetica Neue" w:hAnsi="Helvetica Neue"/>
          <w:b/>
          <w:bCs/>
          <w:sz w:val="21"/>
          <w:szCs w:val="21"/>
        </w:rPr>
      </w:pPr>
      <w:r w:rsidRPr="00D41317">
        <w:rPr>
          <w:rFonts w:ascii="Helvetica Neue" w:hAnsi="Helvetica Neue"/>
          <w:b/>
          <w:bCs/>
          <w:sz w:val="21"/>
          <w:szCs w:val="21"/>
        </w:rPr>
        <w:t>Workforce stability and affordability are linked</w:t>
      </w:r>
    </w:p>
    <w:p w14:paraId="3083ECFC" w14:textId="77777777" w:rsidR="00D41317" w:rsidRPr="00D41317" w:rsidRDefault="00D41317" w:rsidP="00D41317">
      <w:pPr>
        <w:ind w:left="142"/>
        <w:rPr>
          <w:rFonts w:ascii="Helvetica Neue" w:hAnsi="Helvetica Neue"/>
          <w:bCs/>
          <w:sz w:val="21"/>
          <w:szCs w:val="21"/>
        </w:rPr>
      </w:pPr>
    </w:p>
    <w:p w14:paraId="5027593C"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Workforce instability carries both direct and indirect costs. Recruitment, onboarding, and training are expensive. At the same time, inefficiencies, delays, and fragmented care increase overall system costs.</w:t>
      </w:r>
    </w:p>
    <w:p w14:paraId="10973CE6" w14:textId="77777777" w:rsidR="00D41317" w:rsidRPr="00D41317" w:rsidRDefault="00D41317" w:rsidP="00D41317">
      <w:pPr>
        <w:ind w:left="142"/>
        <w:rPr>
          <w:rFonts w:ascii="Helvetica Neue" w:hAnsi="Helvetica Neue"/>
          <w:bCs/>
          <w:sz w:val="21"/>
          <w:szCs w:val="21"/>
        </w:rPr>
      </w:pPr>
    </w:p>
    <w:p w14:paraId="1507FED3"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The opposite is also true. Supportive work environments, effective leadership, and clear development pathways are linked to lower burnout and stronger retention. For medical schemes operating on a pooled-risk model, this matters. Stability supports efficiency. Efficiency supports affordability. The connection is direct.</w:t>
      </w:r>
    </w:p>
    <w:p w14:paraId="6EC7B220" w14:textId="77777777" w:rsidR="00D41317" w:rsidRPr="00D41317" w:rsidRDefault="00D41317" w:rsidP="00D41317">
      <w:pPr>
        <w:ind w:left="142"/>
        <w:rPr>
          <w:rFonts w:ascii="Helvetica Neue" w:hAnsi="Helvetica Neue"/>
          <w:bCs/>
          <w:sz w:val="21"/>
          <w:szCs w:val="21"/>
        </w:rPr>
      </w:pPr>
    </w:p>
    <w:p w14:paraId="7E096EC8" w14:textId="77777777" w:rsidR="00D41317" w:rsidRPr="00D41317" w:rsidRDefault="00D41317" w:rsidP="00D41317">
      <w:pPr>
        <w:ind w:left="142"/>
        <w:rPr>
          <w:rFonts w:ascii="Helvetica Neue" w:hAnsi="Helvetica Neue"/>
          <w:b/>
          <w:bCs/>
          <w:sz w:val="21"/>
          <w:szCs w:val="21"/>
        </w:rPr>
      </w:pPr>
      <w:r w:rsidRPr="00D41317">
        <w:rPr>
          <w:rFonts w:ascii="Helvetica Neue" w:hAnsi="Helvetica Neue"/>
          <w:b/>
          <w:bCs/>
          <w:sz w:val="21"/>
          <w:szCs w:val="21"/>
        </w:rPr>
        <w:t>What needs to change</w:t>
      </w:r>
    </w:p>
    <w:p w14:paraId="4AEBE3EB" w14:textId="77777777" w:rsidR="00D41317" w:rsidRPr="00D41317" w:rsidRDefault="00D41317" w:rsidP="00D41317">
      <w:pPr>
        <w:ind w:left="142"/>
        <w:rPr>
          <w:rFonts w:ascii="Helvetica Neue" w:hAnsi="Helvetica Neue"/>
          <w:bCs/>
          <w:sz w:val="21"/>
          <w:szCs w:val="21"/>
        </w:rPr>
      </w:pPr>
    </w:p>
    <w:p w14:paraId="5693928D"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There is no single intervention that will resolve workforce sustainability challenges, but the direction is clear. The response must be deliberate and sustained.</w:t>
      </w:r>
    </w:p>
    <w:p w14:paraId="7669FF70" w14:textId="77777777" w:rsidR="00D41317" w:rsidRPr="00D41317" w:rsidRDefault="00D41317" w:rsidP="00D41317">
      <w:pPr>
        <w:ind w:left="142"/>
        <w:rPr>
          <w:rFonts w:ascii="Helvetica Neue" w:hAnsi="Helvetica Neue"/>
          <w:bCs/>
          <w:sz w:val="21"/>
          <w:szCs w:val="21"/>
        </w:rPr>
      </w:pPr>
    </w:p>
    <w:p w14:paraId="5B79722F" w14:textId="77777777" w:rsidR="00D41317" w:rsidRPr="00D41317" w:rsidRDefault="00D41317" w:rsidP="00D41317">
      <w:pPr>
        <w:numPr>
          <w:ilvl w:val="0"/>
          <w:numId w:val="46"/>
        </w:numPr>
        <w:rPr>
          <w:rFonts w:ascii="Helvetica Neue" w:hAnsi="Helvetica Neue"/>
          <w:bCs/>
          <w:sz w:val="21"/>
          <w:szCs w:val="21"/>
        </w:rPr>
      </w:pPr>
      <w:r w:rsidRPr="00D41317">
        <w:rPr>
          <w:rFonts w:ascii="Helvetica Neue" w:hAnsi="Helvetica Neue"/>
          <w:bCs/>
          <w:sz w:val="21"/>
          <w:szCs w:val="21"/>
        </w:rPr>
        <w:t>Workloads need to be realistic and properly resourced.</w:t>
      </w:r>
    </w:p>
    <w:p w14:paraId="5D1E50B6" w14:textId="77777777" w:rsidR="00D41317" w:rsidRPr="00D41317" w:rsidRDefault="00D41317" w:rsidP="00D41317">
      <w:pPr>
        <w:numPr>
          <w:ilvl w:val="0"/>
          <w:numId w:val="46"/>
        </w:numPr>
        <w:rPr>
          <w:rFonts w:ascii="Helvetica Neue" w:hAnsi="Helvetica Neue"/>
          <w:bCs/>
          <w:sz w:val="21"/>
          <w:szCs w:val="21"/>
        </w:rPr>
      </w:pPr>
      <w:r w:rsidRPr="00D41317">
        <w:rPr>
          <w:rFonts w:ascii="Helvetica Neue" w:hAnsi="Helvetica Neue"/>
          <w:bCs/>
          <w:sz w:val="21"/>
          <w:szCs w:val="21"/>
        </w:rPr>
        <w:t>Leadership needs to prioritise transparency, accountability, and support.</w:t>
      </w:r>
    </w:p>
    <w:p w14:paraId="6F0B3593" w14:textId="77777777" w:rsidR="00D41317" w:rsidRPr="00D41317" w:rsidRDefault="00D41317" w:rsidP="00D41317">
      <w:pPr>
        <w:numPr>
          <w:ilvl w:val="0"/>
          <w:numId w:val="46"/>
        </w:numPr>
        <w:rPr>
          <w:rFonts w:ascii="Helvetica Neue" w:hAnsi="Helvetica Neue"/>
          <w:bCs/>
          <w:sz w:val="21"/>
          <w:szCs w:val="21"/>
        </w:rPr>
      </w:pPr>
      <w:r w:rsidRPr="00D41317">
        <w:rPr>
          <w:rFonts w:ascii="Helvetica Neue" w:hAnsi="Helvetica Neue"/>
          <w:bCs/>
          <w:sz w:val="21"/>
          <w:szCs w:val="21"/>
        </w:rPr>
        <w:t>Professional development must be ongoing and visible.</w:t>
      </w:r>
    </w:p>
    <w:p w14:paraId="1C1331FB" w14:textId="77777777" w:rsidR="00D41317" w:rsidRPr="00D41317" w:rsidRDefault="00D41317" w:rsidP="00D41317">
      <w:pPr>
        <w:numPr>
          <w:ilvl w:val="0"/>
          <w:numId w:val="46"/>
        </w:numPr>
        <w:rPr>
          <w:rFonts w:ascii="Helvetica Neue" w:hAnsi="Helvetica Neue"/>
          <w:bCs/>
          <w:sz w:val="21"/>
          <w:szCs w:val="21"/>
        </w:rPr>
      </w:pPr>
      <w:r w:rsidRPr="00D41317">
        <w:rPr>
          <w:rFonts w:ascii="Helvetica Neue" w:hAnsi="Helvetica Neue"/>
          <w:bCs/>
          <w:sz w:val="21"/>
          <w:szCs w:val="21"/>
        </w:rPr>
        <w:t>Employee well-being should be built into operating models, not treated as an add-on.</w:t>
      </w:r>
    </w:p>
    <w:p w14:paraId="27711B1D" w14:textId="77777777" w:rsidR="00D41317" w:rsidRPr="00D41317" w:rsidRDefault="00D41317" w:rsidP="00D41317">
      <w:pPr>
        <w:ind w:left="142"/>
        <w:rPr>
          <w:rFonts w:ascii="Helvetica Neue" w:hAnsi="Helvetica Neue"/>
          <w:bCs/>
          <w:sz w:val="21"/>
          <w:szCs w:val="21"/>
        </w:rPr>
      </w:pPr>
    </w:p>
    <w:p w14:paraId="3929F277"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These are not short-term fixes. They require sustained commitment.</w:t>
      </w:r>
    </w:p>
    <w:p w14:paraId="19478B49" w14:textId="77777777" w:rsidR="00D41317" w:rsidRPr="00D41317" w:rsidRDefault="00D41317" w:rsidP="00D41317">
      <w:pPr>
        <w:ind w:left="142"/>
        <w:rPr>
          <w:rFonts w:ascii="Helvetica Neue" w:hAnsi="Helvetica Neue"/>
          <w:bCs/>
          <w:sz w:val="21"/>
          <w:szCs w:val="21"/>
        </w:rPr>
      </w:pPr>
    </w:p>
    <w:p w14:paraId="68B73101" w14:textId="77777777" w:rsidR="00D41317" w:rsidRPr="00D41317" w:rsidRDefault="00D41317" w:rsidP="00D41317">
      <w:pPr>
        <w:ind w:left="142"/>
        <w:rPr>
          <w:rFonts w:ascii="Helvetica Neue" w:hAnsi="Helvetica Neue"/>
          <w:b/>
          <w:bCs/>
          <w:sz w:val="21"/>
          <w:szCs w:val="21"/>
        </w:rPr>
      </w:pPr>
      <w:r w:rsidRPr="00D41317">
        <w:rPr>
          <w:rFonts w:ascii="Helvetica Neue" w:hAnsi="Helvetica Neue"/>
          <w:b/>
          <w:bCs/>
          <w:sz w:val="21"/>
          <w:szCs w:val="21"/>
        </w:rPr>
        <w:t>Protecting the people who sustain the system</w:t>
      </w:r>
    </w:p>
    <w:p w14:paraId="56DFEA20" w14:textId="77777777" w:rsidR="00D41317" w:rsidRPr="00D41317" w:rsidRDefault="00D41317" w:rsidP="00D41317">
      <w:pPr>
        <w:ind w:left="142"/>
        <w:rPr>
          <w:rFonts w:ascii="Helvetica Neue" w:hAnsi="Helvetica Neue"/>
          <w:bCs/>
          <w:sz w:val="21"/>
          <w:szCs w:val="21"/>
        </w:rPr>
      </w:pPr>
    </w:p>
    <w:p w14:paraId="6725A3A4"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South Africa’s healthcare system relies on a network of healthcare professionals across both public and private sectors. Their expertise keeps the system functioning under pressure. Protecting this workforce is not optional. It is central to sustainability. Burnout, understaffing, and high turnover are not temporary disruptions. They are structural risks. Left unaddressed, they will continue to erode capacity and performance.</w:t>
      </w:r>
    </w:p>
    <w:p w14:paraId="2A03B880" w14:textId="77777777" w:rsidR="00D41317" w:rsidRPr="00D41317" w:rsidRDefault="00D41317" w:rsidP="00D41317">
      <w:pPr>
        <w:ind w:left="142"/>
        <w:rPr>
          <w:rFonts w:ascii="Helvetica Neue" w:hAnsi="Helvetica Neue"/>
          <w:bCs/>
          <w:sz w:val="21"/>
          <w:szCs w:val="21"/>
        </w:rPr>
      </w:pPr>
    </w:p>
    <w:p w14:paraId="6BC9CBE2" w14:textId="77777777" w:rsidR="00D41317" w:rsidRPr="00D41317" w:rsidRDefault="00D41317" w:rsidP="00D41317">
      <w:pPr>
        <w:ind w:left="142"/>
        <w:rPr>
          <w:rFonts w:ascii="Helvetica Neue" w:hAnsi="Helvetica Neue"/>
          <w:bCs/>
          <w:sz w:val="21"/>
          <w:szCs w:val="21"/>
        </w:rPr>
      </w:pPr>
      <w:r w:rsidRPr="00D41317">
        <w:rPr>
          <w:rFonts w:ascii="Helvetica Neue" w:hAnsi="Helvetica Neue"/>
          <w:bCs/>
          <w:sz w:val="21"/>
          <w:szCs w:val="21"/>
        </w:rPr>
        <w:t>In healthcare, the strength of the system is defined by the people who carry it. Supporting them is not just good practice. It is essential to the future of care.</w:t>
      </w:r>
    </w:p>
    <w:p w14:paraId="1955300C" w14:textId="77777777" w:rsidR="00D41317" w:rsidRDefault="00D41317" w:rsidP="00410AFB">
      <w:pPr>
        <w:ind w:left="142"/>
        <w:rPr>
          <w:rFonts w:ascii="Helvetica Neue" w:hAnsi="Helvetica Neue"/>
          <w:bCs/>
          <w:sz w:val="21"/>
          <w:szCs w:val="21"/>
        </w:rPr>
      </w:pPr>
    </w:p>
    <w:p w14:paraId="2F0251E4" w14:textId="77777777" w:rsidR="00D41317" w:rsidRDefault="00D41317" w:rsidP="00410AFB">
      <w:pPr>
        <w:ind w:left="142"/>
        <w:rPr>
          <w:rFonts w:ascii="Helvetica Neue" w:hAnsi="Helvetica Neue"/>
          <w:bCs/>
          <w:sz w:val="21"/>
          <w:szCs w:val="21"/>
        </w:rPr>
      </w:pPr>
    </w:p>
    <w:p w14:paraId="7F04F1BE" w14:textId="77777777" w:rsidR="00D41317" w:rsidRDefault="00D41317" w:rsidP="00410AFB">
      <w:pPr>
        <w:ind w:left="142"/>
        <w:rPr>
          <w:rFonts w:ascii="Helvetica Neue" w:hAnsi="Helvetica Neue"/>
          <w:bCs/>
          <w:sz w:val="21"/>
          <w:szCs w:val="21"/>
        </w:rPr>
      </w:pPr>
    </w:p>
    <w:p w14:paraId="215D6EE1" w14:textId="77777777" w:rsidR="00F04197" w:rsidRPr="00A31554" w:rsidRDefault="00F04197" w:rsidP="00F04197">
      <w:pPr>
        <w:spacing w:after="240"/>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0D631407"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7708F2">
        <w:rPr>
          <w:rFonts w:ascii="Helvetica Neue" w:hAnsi="Helvetica Neue" w:cs="Calibri"/>
          <w:color w:val="808080" w:themeColor="background1" w:themeShade="80"/>
          <w:sz w:val="21"/>
          <w:szCs w:val="21"/>
          <w:lang w:val="en-GB"/>
        </w:rPr>
        <w:t>7</w:t>
      </w:r>
      <w:r w:rsidR="0088729E">
        <w:rPr>
          <w:rFonts w:ascii="Helvetica Neue" w:hAnsi="Helvetica Neue" w:cs="Calibri"/>
          <w:color w:val="808080" w:themeColor="background1" w:themeShade="80"/>
          <w:sz w:val="21"/>
          <w:szCs w:val="21"/>
          <w:lang w:val="en-GB"/>
        </w:rPr>
        <w:t>13</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11"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2"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3"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4"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5"/>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6"/>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7"/>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8"/>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9"/>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20"/>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695B56E4"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21"/>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lastRenderedPageBreak/>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2"/>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3"/>
      <w:headerReference w:type="first" r:id="rId24"/>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31F8" w14:textId="77777777" w:rsidR="000071F9" w:rsidRDefault="000071F9" w:rsidP="005140A3">
      <w:r>
        <w:separator/>
      </w:r>
    </w:p>
  </w:endnote>
  <w:endnote w:type="continuationSeparator" w:id="0">
    <w:p w14:paraId="1DCF4A2E" w14:textId="77777777" w:rsidR="000071F9" w:rsidRDefault="000071F9"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Arial Nova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A387" w14:textId="77777777" w:rsidR="000071F9" w:rsidRDefault="000071F9" w:rsidP="005140A3">
      <w:r>
        <w:separator/>
      </w:r>
    </w:p>
  </w:footnote>
  <w:footnote w:type="continuationSeparator" w:id="0">
    <w:p w14:paraId="463C27CA" w14:textId="77777777" w:rsidR="000071F9" w:rsidRDefault="000071F9"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E8D"/>
    <w:multiLevelType w:val="hybridMultilevel"/>
    <w:tmpl w:val="A8C05AA2"/>
    <w:lvl w:ilvl="0" w:tplc="210AFEB2">
      <w:numFmt w:val="bullet"/>
      <w:lvlText w:val="•"/>
      <w:lvlJc w:val="left"/>
      <w:pPr>
        <w:ind w:left="502" w:hanging="360"/>
      </w:pPr>
      <w:rPr>
        <w:rFonts w:ascii="Arial" w:eastAsiaTheme="minorHAnsi" w:hAnsi="Arial" w:cs="Aria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8"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F248D"/>
    <w:multiLevelType w:val="hybridMultilevel"/>
    <w:tmpl w:val="C35879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2"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3"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6A634CC"/>
    <w:multiLevelType w:val="hybridMultilevel"/>
    <w:tmpl w:val="707E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8867C66"/>
    <w:multiLevelType w:val="hybridMultilevel"/>
    <w:tmpl w:val="4B2090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4F02D4"/>
    <w:multiLevelType w:val="hybridMultilevel"/>
    <w:tmpl w:val="627C85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3"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6E697925"/>
    <w:multiLevelType w:val="hybridMultilevel"/>
    <w:tmpl w:val="BDC497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7118686A"/>
    <w:multiLevelType w:val="hybridMultilevel"/>
    <w:tmpl w:val="B67ADD6E"/>
    <w:lvl w:ilvl="0" w:tplc="5088E580">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3"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5"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11"/>
  </w:num>
  <w:num w:numId="2" w16cid:durableId="1929998688">
    <w:abstractNumId w:val="14"/>
  </w:num>
  <w:num w:numId="3" w16cid:durableId="1232231516">
    <w:abstractNumId w:val="39"/>
  </w:num>
  <w:num w:numId="4" w16cid:durableId="1033387954">
    <w:abstractNumId w:val="32"/>
  </w:num>
  <w:num w:numId="5" w16cid:durableId="1051735443">
    <w:abstractNumId w:val="7"/>
  </w:num>
  <w:num w:numId="6" w16cid:durableId="262080214">
    <w:abstractNumId w:val="38"/>
  </w:num>
  <w:num w:numId="7" w16cid:durableId="1624385064">
    <w:abstractNumId w:val="2"/>
  </w:num>
  <w:num w:numId="8" w16cid:durableId="1437947627">
    <w:abstractNumId w:val="23"/>
  </w:num>
  <w:num w:numId="9" w16cid:durableId="740098256">
    <w:abstractNumId w:val="13"/>
  </w:num>
  <w:num w:numId="10" w16cid:durableId="658312438">
    <w:abstractNumId w:val="43"/>
  </w:num>
  <w:num w:numId="11" w16cid:durableId="621687782">
    <w:abstractNumId w:val="1"/>
  </w:num>
  <w:num w:numId="12" w16cid:durableId="603004783">
    <w:abstractNumId w:val="12"/>
  </w:num>
  <w:num w:numId="13" w16cid:durableId="1226069561">
    <w:abstractNumId w:val="21"/>
  </w:num>
  <w:num w:numId="14" w16cid:durableId="348798524">
    <w:abstractNumId w:val="5"/>
  </w:num>
  <w:num w:numId="15" w16cid:durableId="97259410">
    <w:abstractNumId w:val="41"/>
  </w:num>
  <w:num w:numId="16" w16cid:durableId="334648574">
    <w:abstractNumId w:val="19"/>
  </w:num>
  <w:num w:numId="17" w16cid:durableId="1178499041">
    <w:abstractNumId w:val="17"/>
  </w:num>
  <w:num w:numId="18" w16cid:durableId="217329712">
    <w:abstractNumId w:val="35"/>
  </w:num>
  <w:num w:numId="19" w16cid:durableId="2061245967">
    <w:abstractNumId w:val="26"/>
  </w:num>
  <w:num w:numId="20" w16cid:durableId="259144806">
    <w:abstractNumId w:val="8"/>
  </w:num>
  <w:num w:numId="21" w16cid:durableId="1646860078">
    <w:abstractNumId w:val="28"/>
  </w:num>
  <w:num w:numId="22" w16cid:durableId="463693069">
    <w:abstractNumId w:val="24"/>
  </w:num>
  <w:num w:numId="23" w16cid:durableId="464662659">
    <w:abstractNumId w:val="42"/>
  </w:num>
  <w:num w:numId="24" w16cid:durableId="801843454">
    <w:abstractNumId w:val="40"/>
  </w:num>
  <w:num w:numId="25" w16cid:durableId="307168308">
    <w:abstractNumId w:val="6"/>
  </w:num>
  <w:num w:numId="26" w16cid:durableId="413094014">
    <w:abstractNumId w:val="34"/>
  </w:num>
  <w:num w:numId="27" w16cid:durableId="34936238">
    <w:abstractNumId w:val="33"/>
  </w:num>
  <w:num w:numId="28" w16cid:durableId="376930076">
    <w:abstractNumId w:val="20"/>
  </w:num>
  <w:num w:numId="29" w16cid:durableId="2094352063">
    <w:abstractNumId w:val="18"/>
  </w:num>
  <w:num w:numId="30" w16cid:durableId="759956338">
    <w:abstractNumId w:val="25"/>
  </w:num>
  <w:num w:numId="31" w16cid:durableId="232669137">
    <w:abstractNumId w:val="10"/>
  </w:num>
  <w:num w:numId="32" w16cid:durableId="1719668521">
    <w:abstractNumId w:val="16"/>
  </w:num>
  <w:num w:numId="33" w16cid:durableId="2122217206">
    <w:abstractNumId w:val="45"/>
  </w:num>
  <w:num w:numId="34" w16cid:durableId="2052069579">
    <w:abstractNumId w:val="31"/>
  </w:num>
  <w:num w:numId="35" w16cid:durableId="2030252114">
    <w:abstractNumId w:val="3"/>
  </w:num>
  <w:num w:numId="36" w16cid:durableId="1801722157">
    <w:abstractNumId w:val="4"/>
  </w:num>
  <w:num w:numId="37" w16cid:durableId="121465416">
    <w:abstractNumId w:val="27"/>
  </w:num>
  <w:num w:numId="38" w16cid:durableId="533202276">
    <w:abstractNumId w:val="44"/>
  </w:num>
  <w:num w:numId="39" w16cid:durableId="559636264">
    <w:abstractNumId w:val="30"/>
  </w:num>
  <w:num w:numId="40" w16cid:durableId="300231842">
    <w:abstractNumId w:val="37"/>
  </w:num>
  <w:num w:numId="41" w16cid:durableId="449516236">
    <w:abstractNumId w:val="29"/>
  </w:num>
  <w:num w:numId="42" w16cid:durableId="40986581">
    <w:abstractNumId w:val="9"/>
  </w:num>
  <w:num w:numId="43" w16cid:durableId="1251350654">
    <w:abstractNumId w:val="22"/>
  </w:num>
  <w:num w:numId="44" w16cid:durableId="1060254729">
    <w:abstractNumId w:val="36"/>
  </w:num>
  <w:num w:numId="45" w16cid:durableId="158549103">
    <w:abstractNumId w:val="0"/>
  </w:num>
  <w:num w:numId="46" w16cid:durableId="8448273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071F9"/>
    <w:rsid w:val="00012346"/>
    <w:rsid w:val="000125AD"/>
    <w:rsid w:val="00017FD2"/>
    <w:rsid w:val="00020567"/>
    <w:rsid w:val="00020A9B"/>
    <w:rsid w:val="000218A9"/>
    <w:rsid w:val="00035257"/>
    <w:rsid w:val="00035E11"/>
    <w:rsid w:val="0005763A"/>
    <w:rsid w:val="0006260A"/>
    <w:rsid w:val="000662A6"/>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2A7E"/>
    <w:rsid w:val="00123019"/>
    <w:rsid w:val="00124A27"/>
    <w:rsid w:val="0012529E"/>
    <w:rsid w:val="001348D1"/>
    <w:rsid w:val="00137CB3"/>
    <w:rsid w:val="00140F83"/>
    <w:rsid w:val="001457C4"/>
    <w:rsid w:val="0015086B"/>
    <w:rsid w:val="00150911"/>
    <w:rsid w:val="001543C0"/>
    <w:rsid w:val="00160CB0"/>
    <w:rsid w:val="001626DC"/>
    <w:rsid w:val="00164931"/>
    <w:rsid w:val="001668D1"/>
    <w:rsid w:val="00166B1A"/>
    <w:rsid w:val="00170AB7"/>
    <w:rsid w:val="001749E2"/>
    <w:rsid w:val="0017756E"/>
    <w:rsid w:val="00183497"/>
    <w:rsid w:val="0018590F"/>
    <w:rsid w:val="001A136A"/>
    <w:rsid w:val="001A6077"/>
    <w:rsid w:val="001B128F"/>
    <w:rsid w:val="001B3334"/>
    <w:rsid w:val="001C1B88"/>
    <w:rsid w:val="001C2CFB"/>
    <w:rsid w:val="001C5B39"/>
    <w:rsid w:val="001D42F4"/>
    <w:rsid w:val="001D462B"/>
    <w:rsid w:val="001D7CB8"/>
    <w:rsid w:val="001D7D04"/>
    <w:rsid w:val="001E1E17"/>
    <w:rsid w:val="001E4F33"/>
    <w:rsid w:val="001F1E6D"/>
    <w:rsid w:val="001F61FC"/>
    <w:rsid w:val="00203989"/>
    <w:rsid w:val="00204FDC"/>
    <w:rsid w:val="00207475"/>
    <w:rsid w:val="00210786"/>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2EB8"/>
    <w:rsid w:val="002B566D"/>
    <w:rsid w:val="002C0201"/>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2880"/>
    <w:rsid w:val="003A3EB8"/>
    <w:rsid w:val="003A6D5C"/>
    <w:rsid w:val="003B038E"/>
    <w:rsid w:val="003B095B"/>
    <w:rsid w:val="003B23C7"/>
    <w:rsid w:val="003C0ABE"/>
    <w:rsid w:val="003C43B5"/>
    <w:rsid w:val="003C60D3"/>
    <w:rsid w:val="003C6662"/>
    <w:rsid w:val="003D3B14"/>
    <w:rsid w:val="003D5FE3"/>
    <w:rsid w:val="003E2F67"/>
    <w:rsid w:val="003E478D"/>
    <w:rsid w:val="003F471B"/>
    <w:rsid w:val="00406B3D"/>
    <w:rsid w:val="00410AFB"/>
    <w:rsid w:val="00422ED5"/>
    <w:rsid w:val="0042568F"/>
    <w:rsid w:val="00430D1A"/>
    <w:rsid w:val="00432A5B"/>
    <w:rsid w:val="00432B84"/>
    <w:rsid w:val="00436ABB"/>
    <w:rsid w:val="0044053A"/>
    <w:rsid w:val="0045091C"/>
    <w:rsid w:val="00453B00"/>
    <w:rsid w:val="00453FA1"/>
    <w:rsid w:val="00455AA8"/>
    <w:rsid w:val="00460EB1"/>
    <w:rsid w:val="00473314"/>
    <w:rsid w:val="0047473B"/>
    <w:rsid w:val="00474866"/>
    <w:rsid w:val="00474EC4"/>
    <w:rsid w:val="00476687"/>
    <w:rsid w:val="004931AF"/>
    <w:rsid w:val="0049473C"/>
    <w:rsid w:val="004A0A6A"/>
    <w:rsid w:val="004A1934"/>
    <w:rsid w:val="004B2589"/>
    <w:rsid w:val="004B407A"/>
    <w:rsid w:val="004C04E9"/>
    <w:rsid w:val="004C4802"/>
    <w:rsid w:val="004C4C86"/>
    <w:rsid w:val="004C5ED6"/>
    <w:rsid w:val="004E1D6A"/>
    <w:rsid w:val="004E698E"/>
    <w:rsid w:val="004F22E8"/>
    <w:rsid w:val="005004E2"/>
    <w:rsid w:val="00500576"/>
    <w:rsid w:val="0050174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97CDD"/>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4D1B"/>
    <w:rsid w:val="00665977"/>
    <w:rsid w:val="00665BE3"/>
    <w:rsid w:val="0067001A"/>
    <w:rsid w:val="0067380F"/>
    <w:rsid w:val="00677453"/>
    <w:rsid w:val="0068619D"/>
    <w:rsid w:val="006866D7"/>
    <w:rsid w:val="006901D2"/>
    <w:rsid w:val="00693F0D"/>
    <w:rsid w:val="00695BBE"/>
    <w:rsid w:val="006A2BA8"/>
    <w:rsid w:val="006A357C"/>
    <w:rsid w:val="006A5A96"/>
    <w:rsid w:val="006B3266"/>
    <w:rsid w:val="006B6EEF"/>
    <w:rsid w:val="006B7C39"/>
    <w:rsid w:val="006C1730"/>
    <w:rsid w:val="006C1B05"/>
    <w:rsid w:val="006C37E9"/>
    <w:rsid w:val="006D073A"/>
    <w:rsid w:val="006D3D59"/>
    <w:rsid w:val="006D40C9"/>
    <w:rsid w:val="006E0449"/>
    <w:rsid w:val="006E062C"/>
    <w:rsid w:val="006E0DB0"/>
    <w:rsid w:val="006E19E7"/>
    <w:rsid w:val="006F1A3F"/>
    <w:rsid w:val="006F242F"/>
    <w:rsid w:val="006F3992"/>
    <w:rsid w:val="006F4274"/>
    <w:rsid w:val="006F459A"/>
    <w:rsid w:val="006F571D"/>
    <w:rsid w:val="006F7946"/>
    <w:rsid w:val="006F7A9E"/>
    <w:rsid w:val="00701A32"/>
    <w:rsid w:val="0070375D"/>
    <w:rsid w:val="00706D1D"/>
    <w:rsid w:val="00711D54"/>
    <w:rsid w:val="00715A3D"/>
    <w:rsid w:val="0072190F"/>
    <w:rsid w:val="00731734"/>
    <w:rsid w:val="007413C0"/>
    <w:rsid w:val="00744E9A"/>
    <w:rsid w:val="0074611C"/>
    <w:rsid w:val="00755D66"/>
    <w:rsid w:val="00757CBD"/>
    <w:rsid w:val="00760C30"/>
    <w:rsid w:val="007627F6"/>
    <w:rsid w:val="007708F2"/>
    <w:rsid w:val="007719FA"/>
    <w:rsid w:val="007723F1"/>
    <w:rsid w:val="00772DF7"/>
    <w:rsid w:val="007758F7"/>
    <w:rsid w:val="00775FD2"/>
    <w:rsid w:val="00787B97"/>
    <w:rsid w:val="007965C7"/>
    <w:rsid w:val="007A3AD5"/>
    <w:rsid w:val="007A3CE6"/>
    <w:rsid w:val="007C0562"/>
    <w:rsid w:val="007C0B5A"/>
    <w:rsid w:val="007C5BF3"/>
    <w:rsid w:val="007D170C"/>
    <w:rsid w:val="007E0893"/>
    <w:rsid w:val="007E3940"/>
    <w:rsid w:val="007E3AF6"/>
    <w:rsid w:val="007E53BD"/>
    <w:rsid w:val="007E5DAB"/>
    <w:rsid w:val="007E767E"/>
    <w:rsid w:val="007E7EA9"/>
    <w:rsid w:val="007F6F3A"/>
    <w:rsid w:val="007F727E"/>
    <w:rsid w:val="00804BD9"/>
    <w:rsid w:val="00814976"/>
    <w:rsid w:val="00815585"/>
    <w:rsid w:val="00820DB2"/>
    <w:rsid w:val="00825A2B"/>
    <w:rsid w:val="00825B17"/>
    <w:rsid w:val="00831F39"/>
    <w:rsid w:val="00832893"/>
    <w:rsid w:val="00833A7C"/>
    <w:rsid w:val="00843CBA"/>
    <w:rsid w:val="008443B1"/>
    <w:rsid w:val="0084667F"/>
    <w:rsid w:val="008511B0"/>
    <w:rsid w:val="00853121"/>
    <w:rsid w:val="008560AD"/>
    <w:rsid w:val="00856BEC"/>
    <w:rsid w:val="008606C6"/>
    <w:rsid w:val="00862783"/>
    <w:rsid w:val="00863D53"/>
    <w:rsid w:val="00865504"/>
    <w:rsid w:val="00866D5B"/>
    <w:rsid w:val="00872ED7"/>
    <w:rsid w:val="008778ED"/>
    <w:rsid w:val="00883F75"/>
    <w:rsid w:val="0088511F"/>
    <w:rsid w:val="0088729E"/>
    <w:rsid w:val="008907EC"/>
    <w:rsid w:val="008936E9"/>
    <w:rsid w:val="00895154"/>
    <w:rsid w:val="0089703A"/>
    <w:rsid w:val="008A0142"/>
    <w:rsid w:val="008A256F"/>
    <w:rsid w:val="008A78A4"/>
    <w:rsid w:val="008B2DEB"/>
    <w:rsid w:val="008B4AA5"/>
    <w:rsid w:val="008B6534"/>
    <w:rsid w:val="008C1EA0"/>
    <w:rsid w:val="008D250F"/>
    <w:rsid w:val="008D4807"/>
    <w:rsid w:val="008D56E7"/>
    <w:rsid w:val="008D6AD3"/>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4E9C"/>
    <w:rsid w:val="00967482"/>
    <w:rsid w:val="00972237"/>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4942"/>
    <w:rsid w:val="009F73D8"/>
    <w:rsid w:val="009F749F"/>
    <w:rsid w:val="00A021B7"/>
    <w:rsid w:val="00A1449E"/>
    <w:rsid w:val="00A2062F"/>
    <w:rsid w:val="00A250C8"/>
    <w:rsid w:val="00A31554"/>
    <w:rsid w:val="00A36E34"/>
    <w:rsid w:val="00A37343"/>
    <w:rsid w:val="00A56AF9"/>
    <w:rsid w:val="00A57A8D"/>
    <w:rsid w:val="00A648A9"/>
    <w:rsid w:val="00A64EB8"/>
    <w:rsid w:val="00A70A3D"/>
    <w:rsid w:val="00A759D7"/>
    <w:rsid w:val="00A80560"/>
    <w:rsid w:val="00A913C5"/>
    <w:rsid w:val="00A91C39"/>
    <w:rsid w:val="00A96326"/>
    <w:rsid w:val="00AA301F"/>
    <w:rsid w:val="00AA466D"/>
    <w:rsid w:val="00AA4BAB"/>
    <w:rsid w:val="00AA5458"/>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250A"/>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A7486"/>
    <w:rsid w:val="00BB0C28"/>
    <w:rsid w:val="00BB0ED1"/>
    <w:rsid w:val="00BB18CA"/>
    <w:rsid w:val="00BB246C"/>
    <w:rsid w:val="00BE2684"/>
    <w:rsid w:val="00BE6FD7"/>
    <w:rsid w:val="00BF2AD5"/>
    <w:rsid w:val="00BF376E"/>
    <w:rsid w:val="00BF42DC"/>
    <w:rsid w:val="00C01B6E"/>
    <w:rsid w:val="00C06357"/>
    <w:rsid w:val="00C06F08"/>
    <w:rsid w:val="00C13ABD"/>
    <w:rsid w:val="00C16E1F"/>
    <w:rsid w:val="00C17E78"/>
    <w:rsid w:val="00C24A57"/>
    <w:rsid w:val="00C25C82"/>
    <w:rsid w:val="00C30E4C"/>
    <w:rsid w:val="00C3295D"/>
    <w:rsid w:val="00C43817"/>
    <w:rsid w:val="00C4758C"/>
    <w:rsid w:val="00C4770B"/>
    <w:rsid w:val="00C53BBC"/>
    <w:rsid w:val="00C54353"/>
    <w:rsid w:val="00C5442A"/>
    <w:rsid w:val="00C55B0C"/>
    <w:rsid w:val="00C57997"/>
    <w:rsid w:val="00C61F82"/>
    <w:rsid w:val="00C66023"/>
    <w:rsid w:val="00C77DE3"/>
    <w:rsid w:val="00C82EC4"/>
    <w:rsid w:val="00CA0B39"/>
    <w:rsid w:val="00CA7E27"/>
    <w:rsid w:val="00CB4ACE"/>
    <w:rsid w:val="00CD2860"/>
    <w:rsid w:val="00CD72A8"/>
    <w:rsid w:val="00CE0A92"/>
    <w:rsid w:val="00CE5F91"/>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41317"/>
    <w:rsid w:val="00D64EB7"/>
    <w:rsid w:val="00D70105"/>
    <w:rsid w:val="00D7156B"/>
    <w:rsid w:val="00D71B67"/>
    <w:rsid w:val="00D71F5C"/>
    <w:rsid w:val="00D72535"/>
    <w:rsid w:val="00D806A8"/>
    <w:rsid w:val="00D828D2"/>
    <w:rsid w:val="00D82ED9"/>
    <w:rsid w:val="00D91CE5"/>
    <w:rsid w:val="00D931CD"/>
    <w:rsid w:val="00D97E6D"/>
    <w:rsid w:val="00DA0D02"/>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6186"/>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4197"/>
    <w:rsid w:val="00F05383"/>
    <w:rsid w:val="00F06DDD"/>
    <w:rsid w:val="00F12F1A"/>
    <w:rsid w:val="00F16588"/>
    <w:rsid w:val="00F16D1E"/>
    <w:rsid w:val="00F17467"/>
    <w:rsid w:val="00F203C6"/>
    <w:rsid w:val="00F23293"/>
    <w:rsid w:val="00F23AB1"/>
    <w:rsid w:val="00F243DD"/>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92BB7"/>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gb/ebwha/pdf_files/EB156/B156_15-en.pdf" TargetMode="External"/><Relationship Id="rId13" Type="http://schemas.openxmlformats.org/officeDocument/2006/relationships/hyperlink" Target="https://medshield.co.za/"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lilanes@medshield.co.za"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stone.consultin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pmc.ncbi.nlm.nih.gov/articles/PMC5353523/"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jamanetwork.com/journals/jama/article-abstract/2828293" TargetMode="External"/><Relationship Id="rId14" Type="http://schemas.openxmlformats.org/officeDocument/2006/relationships/hyperlink" Target="https://medshield.co.za/2026-products/2026-benefit-options/" TargetMode="Externa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4</cp:revision>
  <dcterms:created xsi:type="dcterms:W3CDTF">2026-05-18T12:00:00Z</dcterms:created>
  <dcterms:modified xsi:type="dcterms:W3CDTF">2026-05-18T12:12:00Z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